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A6" w:rsidRPr="00BC76A6" w:rsidRDefault="00067DD8" w:rsidP="00BC76A6">
      <w:pPr>
        <w:spacing w:line="256" w:lineRule="auto"/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</w:pPr>
      <w:r w:rsidRPr="00BC76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3D953F6E" wp14:editId="21AF24F2">
            <wp:simplePos x="0" y="0"/>
            <wp:positionH relativeFrom="margin">
              <wp:posOffset>3346450</wp:posOffset>
            </wp:positionH>
            <wp:positionV relativeFrom="paragraph">
              <wp:posOffset>13335</wp:posOffset>
            </wp:positionV>
            <wp:extent cx="2668270" cy="1905000"/>
            <wp:effectExtent l="0" t="0" r="0" b="0"/>
            <wp:wrapSquare wrapText="bothSides"/>
            <wp:docPr id="16" name="Рисунок 16" descr="ranec-v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anec-vib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6A6" w:rsidRPr="00BC76A6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Как выбрать школьный рюкзак?</w:t>
      </w:r>
    </w:p>
    <w:p w:rsidR="000623EC" w:rsidRPr="00067DD8" w:rsidRDefault="00BC76A6" w:rsidP="00067DD8">
      <w:pPr>
        <w:pStyle w:val="aa"/>
      </w:pPr>
      <w:r w:rsidRPr="00067DD8">
        <w:t xml:space="preserve">В </w:t>
      </w:r>
      <w:r w:rsidR="00783142" w:rsidRPr="00067DD8">
        <w:t>преддверии начала</w:t>
      </w:r>
      <w:r w:rsidRPr="00067DD8">
        <w:t xml:space="preserve"> нового учебного года многие </w:t>
      </w:r>
      <w:r w:rsidR="00067DD8" w:rsidRPr="00067DD8">
        <w:t>родители озадачены</w:t>
      </w:r>
      <w:r w:rsidRPr="00067DD8">
        <w:t xml:space="preserve"> выбором</w:t>
      </w:r>
      <w:r w:rsidR="00783142" w:rsidRPr="00067DD8">
        <w:t xml:space="preserve"> школьного рюкзака для своего ребенка. С</w:t>
      </w:r>
      <w:r w:rsidRPr="00067DD8">
        <w:t>реди многообразия школьных</w:t>
      </w:r>
      <w:r w:rsidR="005A087A" w:rsidRPr="00067DD8">
        <w:t xml:space="preserve"> ранцев</w:t>
      </w:r>
      <w:r w:rsidRPr="00067DD8">
        <w:t xml:space="preserve"> </w:t>
      </w:r>
      <w:r w:rsidR="00783142" w:rsidRPr="00067DD8">
        <w:t>перед покупкой</w:t>
      </w:r>
      <w:r w:rsidRPr="00067DD8">
        <w:t xml:space="preserve"> необходимо обратить внимание на следующие</w:t>
      </w:r>
      <w:r w:rsidR="00783142" w:rsidRPr="00067DD8">
        <w:t xml:space="preserve"> моменты</w:t>
      </w:r>
      <w:r w:rsidRPr="00067DD8">
        <w:t>:</w:t>
      </w:r>
    </w:p>
    <w:p w:rsidR="00783142" w:rsidRDefault="00783142" w:rsidP="00BC76A6">
      <w:pPr>
        <w:spacing w:line="25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7F5176" w:rsidRDefault="007F5176" w:rsidP="007F5176">
      <w:pPr>
        <w:spacing w:line="256" w:lineRule="auto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83142">
        <w:rPr>
          <w:noProof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1" allowOverlap="0" wp14:anchorId="656A9A1C" wp14:editId="45A71FBB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190500" cy="190500"/>
            <wp:effectExtent l="76200" t="95250" r="95250" b="152400"/>
            <wp:wrapSquare wrapText="bothSides"/>
            <wp:docPr id="17" name="Рисунок 17" descr="нумерация-мал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нумерация-мал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176" w:rsidRPr="00067DD8" w:rsidRDefault="00783142" w:rsidP="007F5176">
      <w:pPr>
        <w:spacing w:line="256" w:lineRule="auto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C76A6" w:rsidRPr="00BC76A6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Размер и вес     </w:t>
      </w:r>
    </w:p>
    <w:p w:rsidR="00BC76A6" w:rsidRPr="007F5176" w:rsidRDefault="00BC76A6" w:rsidP="007F5176">
      <w:pPr>
        <w:spacing w:line="256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04E0D">
        <w:rPr>
          <w:sz w:val="24"/>
          <w:szCs w:val="24"/>
        </w:rPr>
        <w:t>Для сохранения правильной осанки школьника очень важны размеры и вес школьного ранца. Его ширина не должна превышать ширину плеч ребенка, а высота - 30 см.   Масса пустого рюкзака должна быть не более 1000 грамм. Вес рюкзака вместе с содержимым должен быть не более 15% от веса школьника, а для учеников младших классов не более 10%.</w:t>
      </w:r>
    </w:p>
    <w:p w:rsidR="007F5176" w:rsidRDefault="007F5176" w:rsidP="007F5176">
      <w:pPr>
        <w:spacing w:line="256" w:lineRule="auto"/>
        <w:rPr>
          <w:rFonts w:ascii="Times New Roman" w:hAnsi="Times New Roman" w:cs="Times New Roman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C76A6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71E31A2F" wp14:editId="30707E54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190500" cy="190500"/>
            <wp:effectExtent l="76200" t="95250" r="95250" b="152400"/>
            <wp:wrapSquare wrapText="bothSides"/>
            <wp:docPr id="6" name="Рисунок 6" descr="нумерация-мал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нумерация-мал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6A6" w:rsidRPr="00BC76A6">
        <w:rPr>
          <w:rFonts w:ascii="Times New Roman" w:hAnsi="Times New Roman" w:cs="Times New Roman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</w:t>
      </w:r>
      <w:r w:rsidR="00C50DCE" w:rsidRPr="00904E0D">
        <w:rPr>
          <w:rFonts w:ascii="Times New Roman" w:hAnsi="Times New Roman" w:cs="Times New Roman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7F5176" w:rsidRPr="00067DD8" w:rsidRDefault="007F5176" w:rsidP="007F5176">
      <w:pPr>
        <w:spacing w:line="256" w:lineRule="auto"/>
        <w:rPr>
          <w:rFonts w:ascii="Times New Roman" w:hAnsi="Times New Roman" w:cs="Times New Roman"/>
          <w:b/>
          <w:color w:val="00206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67DD8">
        <w:rPr>
          <w:rFonts w:ascii="Times New Roman" w:hAnsi="Times New Roman" w:cs="Times New Roman"/>
          <w:b/>
          <w:color w:val="00206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Материал </w:t>
      </w:r>
    </w:p>
    <w:p w:rsidR="00BC76A6" w:rsidRPr="007F5176" w:rsidRDefault="007F5176" w:rsidP="007F5176">
      <w:pPr>
        <w:spacing w:line="25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24"/>
          <w:szCs w:val="24"/>
        </w:rPr>
        <w:t>Л</w:t>
      </w:r>
      <w:r w:rsidRPr="00904E0D">
        <w:rPr>
          <w:sz w:val="24"/>
          <w:szCs w:val="24"/>
        </w:rPr>
        <w:t>учше</w:t>
      </w:r>
      <w:r w:rsidR="00BC76A6" w:rsidRPr="00904E0D">
        <w:rPr>
          <w:sz w:val="24"/>
          <w:szCs w:val="24"/>
        </w:rPr>
        <w:t xml:space="preserve"> остановить свой выбор на ранце из водонепроницаемой, прочной ткани. Швы и канты должны быть тщательно обработаны, пластиковые детали – гладкие, без сколов и заусенцев. Замки и молнии должны легко открываться. Хорошо если углы будут закреплены пластиковыми уголками, это добавляет прочность изделию. Наличие водонепроницаемого дна также является большим плюсом. </w:t>
      </w:r>
    </w:p>
    <w:p w:rsidR="00196B75" w:rsidRPr="00904E0D" w:rsidRDefault="007F5176" w:rsidP="00444FEE">
      <w:pPr>
        <w:pStyle w:val="aa"/>
        <w:rPr>
          <w:sz w:val="24"/>
          <w:szCs w:val="24"/>
        </w:rPr>
      </w:pPr>
      <w:r w:rsidRPr="00BC76A6">
        <w:rPr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0" wp14:anchorId="4FB6B783" wp14:editId="2FAB0651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90500" cy="190500"/>
            <wp:effectExtent l="76200" t="95250" r="95250" b="152400"/>
            <wp:wrapSquare wrapText="bothSides"/>
            <wp:docPr id="12" name="Рисунок 12" descr="нумерация-мал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нумерация-мал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B75" w:rsidRPr="00067DD8" w:rsidRDefault="00526378" w:rsidP="00196B75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04E0D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65F58" w:rsidRPr="00067DD8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Лямки и спинка</w:t>
      </w:r>
    </w:p>
    <w:p w:rsidR="00444FEE" w:rsidRPr="00904E0D" w:rsidRDefault="00BC76A6" w:rsidP="007F5176">
      <w:pPr>
        <w:pStyle w:val="aa"/>
        <w:jc w:val="both"/>
        <w:rPr>
          <w:sz w:val="24"/>
          <w:szCs w:val="24"/>
        </w:rPr>
      </w:pPr>
      <w:r w:rsidRPr="00904E0D">
        <w:rPr>
          <w:sz w:val="24"/>
          <w:szCs w:val="24"/>
        </w:rPr>
        <w:t>Лямки школьного рюкзака должны иметь возможность регулировки, так как их придется подтягивать или отпускать в зависимости от одежды и по мере роста ребенка. При этом ремни должны быть отрегулированы так, чтобы ранец находился строго на спине, ни в коем случае не опускал</w:t>
      </w:r>
      <w:r w:rsidR="00526378" w:rsidRPr="00904E0D">
        <w:rPr>
          <w:sz w:val="24"/>
          <w:szCs w:val="24"/>
        </w:rPr>
        <w:t>ся ниже поясницы.</w:t>
      </w:r>
      <w:r w:rsidRPr="00904E0D">
        <w:rPr>
          <w:sz w:val="24"/>
          <w:szCs w:val="24"/>
        </w:rPr>
        <w:t xml:space="preserve">  Лямки должны быть широкими и из приятного на ощупь материала, чтобы, не врезались в плечи ребенка от тяжести. </w:t>
      </w:r>
      <w:proofErr w:type="gramStart"/>
      <w:r w:rsidRPr="00904E0D">
        <w:rPr>
          <w:sz w:val="24"/>
          <w:szCs w:val="24"/>
        </w:rPr>
        <w:t>Оптимальная ш</w:t>
      </w:r>
      <w:r w:rsidR="00FF17E4">
        <w:rPr>
          <w:sz w:val="24"/>
          <w:szCs w:val="24"/>
        </w:rPr>
        <w:t xml:space="preserve">ирина лямок — 4-5 см.   </w:t>
      </w:r>
      <w:r w:rsidRPr="00904E0D">
        <w:rPr>
          <w:sz w:val="24"/>
          <w:szCs w:val="24"/>
        </w:rPr>
        <w:t>Спинка ранца должна быть с жесткой ортопедической, иметь специальный</w:t>
      </w:r>
      <w:r w:rsidR="00526378" w:rsidRPr="00904E0D">
        <w:rPr>
          <w:sz w:val="24"/>
          <w:szCs w:val="24"/>
        </w:rPr>
        <w:t xml:space="preserve"> твердый</w:t>
      </w:r>
      <w:r w:rsidRPr="00904E0D">
        <w:rPr>
          <w:sz w:val="24"/>
          <w:szCs w:val="24"/>
        </w:rPr>
        <w:t xml:space="preserve"> каркас, который должен быть жестким и равномерно распределять вес и давление на позвоночник для поддержания спины ребенка в прямом положении, не</w:t>
      </w:r>
      <w:r w:rsidR="00526378" w:rsidRPr="00904E0D">
        <w:rPr>
          <w:sz w:val="24"/>
          <w:szCs w:val="24"/>
        </w:rPr>
        <w:t xml:space="preserve"> деформируя позвоночник.</w:t>
      </w:r>
      <w:proofErr w:type="gramEnd"/>
      <w:r w:rsidR="00526378" w:rsidRPr="00904E0D">
        <w:rPr>
          <w:sz w:val="24"/>
          <w:szCs w:val="24"/>
        </w:rPr>
        <w:t xml:space="preserve">  </w:t>
      </w:r>
      <w:r w:rsidRPr="00904E0D">
        <w:rPr>
          <w:sz w:val="24"/>
          <w:szCs w:val="24"/>
        </w:rPr>
        <w:t>Сама спинка и лямки должны иметь мягкую подкладку, чтобы ребенку было комфортно носить ранец. Подкладки на спинке и лямках желательно, чтобы были обиты сетчатой «вентилируемой» тканью, благодаря которой спина ребенка не будет потеть.</w:t>
      </w:r>
      <w:r w:rsidR="00444FEE" w:rsidRPr="00904E0D">
        <w:rPr>
          <w:sz w:val="24"/>
          <w:szCs w:val="24"/>
        </w:rPr>
        <w:t xml:space="preserve">     </w:t>
      </w:r>
    </w:p>
    <w:p w:rsidR="00526378" w:rsidRPr="00904E0D" w:rsidRDefault="007F5176" w:rsidP="00BC76A6">
      <w:pPr>
        <w:spacing w:line="256" w:lineRule="auto"/>
        <w:rPr>
          <w:b/>
          <w:bCs/>
          <w:sz w:val="24"/>
          <w:szCs w:val="24"/>
        </w:rPr>
      </w:pPr>
      <w:r w:rsidRPr="00BC76A6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0" wp14:anchorId="2F41BD3A" wp14:editId="08052E25">
            <wp:simplePos x="0" y="0"/>
            <wp:positionH relativeFrom="margin">
              <wp:align>left</wp:align>
            </wp:positionH>
            <wp:positionV relativeFrom="paragraph">
              <wp:posOffset>261620</wp:posOffset>
            </wp:positionV>
            <wp:extent cx="190500" cy="190500"/>
            <wp:effectExtent l="76200" t="95250" r="95250" b="152400"/>
            <wp:wrapSquare wrapText="bothSides"/>
            <wp:docPr id="10" name="Рисунок 10" descr="нумерация-мал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нумерация-мал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42" w:rsidRPr="00067DD8" w:rsidRDefault="00BC76A6" w:rsidP="00783142">
      <w:pPr>
        <w:spacing w:line="256" w:lineRule="auto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C76A6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Светоотражающие элементы        </w:t>
      </w:r>
    </w:p>
    <w:p w:rsidR="00FD2B4C" w:rsidRDefault="00B91B91" w:rsidP="007F5176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Немаловажным</w:t>
      </w:r>
      <w:r w:rsidR="00BC76A6" w:rsidRPr="00904E0D">
        <w:rPr>
          <w:sz w:val="24"/>
          <w:szCs w:val="24"/>
        </w:rPr>
        <w:t xml:space="preserve"> элементом являются светоотражающие элементы и яркая окраска </w:t>
      </w:r>
    </w:p>
    <w:p w:rsidR="00BC76A6" w:rsidRPr="00783142" w:rsidRDefault="00BC76A6" w:rsidP="007F5176">
      <w:pPr>
        <w:spacing w:line="256" w:lineRule="auto"/>
        <w:jc w:val="both"/>
        <w:rPr>
          <w:b/>
          <w:bCs/>
          <w:sz w:val="24"/>
          <w:szCs w:val="24"/>
        </w:rPr>
      </w:pPr>
      <w:r w:rsidRPr="00904E0D">
        <w:rPr>
          <w:sz w:val="24"/>
          <w:szCs w:val="24"/>
        </w:rPr>
        <w:t xml:space="preserve">ранцев, которые делают детей заметнее на дороге. Светоотражатели должны размещаться со всех сторон: спереди, на боках и на лямках.   </w:t>
      </w:r>
    </w:p>
    <w:p w:rsidR="004F3B75" w:rsidRDefault="004F3B75" w:rsidP="00904E0D">
      <w:pPr>
        <w:pStyle w:val="aa"/>
      </w:pPr>
    </w:p>
    <w:p w:rsidR="004F3B75" w:rsidRDefault="004F3B75" w:rsidP="00904E0D">
      <w:pPr>
        <w:pStyle w:val="aa"/>
      </w:pP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Требования к безопасности продукции, предназначенной для детей и подростков, содержатся в Техническом регламенте «О безопасности продукции, предназначенной для детей и подростков», утвержденном решением Таможенного союза от 23 сентября 2011 г. N 797.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Там же содержатся и требования к маркировке продукции.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В соответствии с ст.9 Технического регламента маркировка продукции должна содержать следующую информацию: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наименование страны, где изготовлена продукция;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наименование и вид (назначение) изделия;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дата изготовления;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единый знак обращения на рынке;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срок службы продукции (при необходимости);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гарантийный срок службы (при необходимости);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товарный знак (при наличии).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>Кроме того, маркировка кожгалантерейных изделий, к которым в том числе относятся портфели, ранцы ученические, рюкзаки, сумки для детей дошкольного и школьного возраста, должна содержать наименование материала, из которого изготовлено изделие, инструкцию по эксплуатации и уходу.</w:t>
      </w:r>
    </w:p>
    <w:p w:rsidR="00904E0D" w:rsidRPr="00B31FF1" w:rsidRDefault="00904E0D" w:rsidP="003A11DF">
      <w:pPr>
        <w:rPr>
          <w:rStyle w:val="ac"/>
          <w:b/>
          <w:color w:val="1F3864" w:themeColor="accent5" w:themeShade="80"/>
        </w:rPr>
      </w:pPr>
      <w:r w:rsidRPr="00B31FF1">
        <w:rPr>
          <w:rStyle w:val="ac"/>
          <w:b/>
          <w:color w:val="1F3864" w:themeColor="accent5" w:themeShade="80"/>
        </w:rPr>
        <w:t xml:space="preserve">Маркировка ранцев ученических, сумок, портфелей и рюкзаков должна содержать информацию о возрасте пользователя.  </w:t>
      </w:r>
    </w:p>
    <w:p w:rsidR="00904E0D" w:rsidRPr="003A11DF" w:rsidRDefault="00214700" w:rsidP="003A11DF">
      <w:pPr>
        <w:rPr>
          <w:rStyle w:val="ac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C7DDC" wp14:editId="3305208A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5772150" cy="30861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086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2D4E" w:rsidRPr="00214700" w:rsidRDefault="00C52D4E" w:rsidP="00C52D4E">
                            <w:pPr>
                              <w:rPr>
                                <w:rStyle w:val="ac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214700">
                              <w:rPr>
                                <w:rStyle w:val="ac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Покупателям при возникновении вопросов, связанных с нарушениями прав потребителей при продаже товаров, можно обращаться: </w:t>
                            </w:r>
                          </w:p>
                          <w:p w:rsidR="00214700" w:rsidRPr="00214700" w:rsidRDefault="00214700" w:rsidP="0021470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— в Общественные приемные Управления Роспотребнадзора по Новгородской области </w:t>
                            </w:r>
                            <w:proofErr w:type="gramStart"/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по</w:t>
                            </w:r>
                            <w:proofErr w:type="gramEnd"/>
                          </w:p>
                          <w:p w:rsidR="00214700" w:rsidRPr="00214700" w:rsidRDefault="00214700" w:rsidP="0021470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телефону 971-106;</w:t>
                            </w:r>
                          </w:p>
                          <w:p w:rsidR="00214700" w:rsidRPr="00214700" w:rsidRDefault="00214700" w:rsidP="0021470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— в Центр по информированию и консультированию потребителей ФБУЗ «</w:t>
                            </w:r>
                            <w:proofErr w:type="spellStart"/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ЦГи</w:t>
                            </w:r>
                            <w:proofErr w:type="spellEnd"/>
                            <w:proofErr w:type="gramStart"/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Э</w:t>
                            </w:r>
                            <w:proofErr w:type="gramEnd"/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в</w:t>
                            </w:r>
                          </w:p>
                          <w:p w:rsidR="00214700" w:rsidRPr="00214700" w:rsidRDefault="00214700" w:rsidP="0021470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Новгородской области» по телефону 77-20-38, 73-06-77; </w:t>
                            </w:r>
                            <w:proofErr w:type="gramStart"/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proofErr w:type="gramEnd"/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mail</w:t>
                            </w:r>
                            <w:proofErr w:type="spellEnd"/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: </w:t>
                            </w:r>
                            <w:hyperlink r:id="rId9" w:history="1">
                              <w:r w:rsidRPr="00214700">
                                <w:rPr>
                                  <w:rStyle w:val="ad"/>
                                  <w:rFonts w:eastAsia="Times New Roman" w:cs="Times New Roman"/>
                                  <w:b/>
                                  <w:i/>
                                  <w:color w:val="002060"/>
                                  <w:sz w:val="24"/>
                                  <w:szCs w:val="24"/>
                                  <w:lang w:eastAsia="ru-RU"/>
                                </w:rPr>
                                <w:t>zpp.center@yandex.ru</w:t>
                              </w:r>
                            </w:hyperlink>
                          </w:p>
                          <w:p w:rsidR="00214700" w:rsidRPr="00214700" w:rsidRDefault="00214700" w:rsidP="0021470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— на «горячую линию» Единого консультационного центра Роспотребнадзора, который</w:t>
                            </w:r>
                          </w:p>
                          <w:p w:rsidR="00214700" w:rsidRPr="00214700" w:rsidRDefault="00214700" w:rsidP="00214700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4700">
                              <w:rPr>
                                <w:rFonts w:eastAsia="Times New Roman" w:cs="Times New Roman"/>
                                <w:b/>
                                <w:i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функционирует в круглосуточном режиме, телефон 8 800 555 49 43</w:t>
                            </w:r>
                            <w:r w:rsidRPr="00214700">
                              <w:rPr>
                                <w:rFonts w:eastAsia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(звонок бесплатный).</w:t>
                            </w:r>
                          </w:p>
                          <w:p w:rsidR="00C52D4E" w:rsidRDefault="00C52D4E" w:rsidP="00C52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4.5pt;margin-top:.05pt;width:454.5pt;height:2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" fillcolor="#fbe4d5 [661]" strokecolor="#f4b083 [1941]" strokeweight="1pt">
                <v:stroke joinstyle="miter"/>
                <v:textbox>
                  <w:txbxContent>
                    <w:p w:rsidR="00C52D4E" w:rsidRPr="00214700" w:rsidRDefault="00C52D4E" w:rsidP="00C52D4E">
                      <w:pPr>
                        <w:rPr>
                          <w:rStyle w:val="ac"/>
                          <w:b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214700">
                        <w:rPr>
                          <w:rStyle w:val="ac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Покупателям при возникновении вопросов, связанных с нарушениями прав потребителей при продаже товаров, можно обращаться: </w:t>
                      </w:r>
                    </w:p>
                    <w:p w:rsidR="00214700" w:rsidRPr="00214700" w:rsidRDefault="00214700" w:rsidP="00214700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— в Общественные приемные Управления Роспотребнадзора по Новгородской области </w:t>
                      </w:r>
                      <w:proofErr w:type="gramStart"/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по</w:t>
                      </w:r>
                      <w:proofErr w:type="gramEnd"/>
                    </w:p>
                    <w:p w:rsidR="00214700" w:rsidRPr="00214700" w:rsidRDefault="00214700" w:rsidP="00214700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телефону 971-106;</w:t>
                      </w:r>
                    </w:p>
                    <w:p w:rsidR="00214700" w:rsidRPr="00214700" w:rsidRDefault="00214700" w:rsidP="00214700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— в Центр по информированию и консультированию потребителей ФБУЗ «</w:t>
                      </w:r>
                      <w:proofErr w:type="spellStart"/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ЦГи</w:t>
                      </w:r>
                      <w:proofErr w:type="spellEnd"/>
                      <w:proofErr w:type="gramStart"/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Э</w:t>
                      </w:r>
                      <w:proofErr w:type="gramEnd"/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в</w:t>
                      </w:r>
                    </w:p>
                    <w:p w:rsidR="00214700" w:rsidRPr="00214700" w:rsidRDefault="00214700" w:rsidP="00214700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Новгородской области» по телефону 77-20-38, 73-06-77; </w:t>
                      </w:r>
                      <w:proofErr w:type="gramStart"/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Е</w:t>
                      </w:r>
                      <w:proofErr w:type="gramEnd"/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-</w:t>
                      </w:r>
                      <w:proofErr w:type="spellStart"/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mail</w:t>
                      </w:r>
                      <w:proofErr w:type="spellEnd"/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: </w:t>
                      </w:r>
                      <w:hyperlink r:id="rId10" w:history="1">
                        <w:r w:rsidRPr="00214700">
                          <w:rPr>
                            <w:rStyle w:val="ad"/>
                            <w:rFonts w:eastAsia="Times New Roman" w:cs="Times New Roman"/>
                            <w:b/>
                            <w:i/>
                            <w:color w:val="002060"/>
                            <w:sz w:val="24"/>
                            <w:szCs w:val="24"/>
                            <w:lang w:eastAsia="ru-RU"/>
                          </w:rPr>
                          <w:t>zpp.center@yandex.ru</w:t>
                        </w:r>
                      </w:hyperlink>
                    </w:p>
                    <w:p w:rsidR="00214700" w:rsidRPr="00214700" w:rsidRDefault="00214700" w:rsidP="00214700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— на «горячую линию» Единого консультационного центра Роспотребнадзора, который</w:t>
                      </w:r>
                    </w:p>
                    <w:p w:rsidR="00214700" w:rsidRPr="00214700" w:rsidRDefault="00214700" w:rsidP="00214700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214700">
                        <w:rPr>
                          <w:rFonts w:eastAsia="Times New Roman" w:cs="Times New Roman"/>
                          <w:b/>
                          <w:i/>
                          <w:color w:val="002060"/>
                          <w:sz w:val="24"/>
                          <w:szCs w:val="24"/>
                          <w:lang w:eastAsia="ru-RU"/>
                        </w:rPr>
                        <w:t>функционирует в круглосуточном режиме, телефон 8 800 555 49 43</w:t>
                      </w:r>
                      <w:r w:rsidRPr="00214700">
                        <w:rPr>
                          <w:rFonts w:eastAsia="Times New Roman" w:cs="Times New Roman"/>
                          <w:b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(звонок бесплатный).</w:t>
                      </w:r>
                    </w:p>
                    <w:p w:rsidR="00C52D4E" w:rsidRDefault="00C52D4E" w:rsidP="00C52D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C76A6" w:rsidRPr="003A11DF" w:rsidRDefault="00BC76A6" w:rsidP="003A11DF">
      <w:pPr>
        <w:rPr>
          <w:rStyle w:val="ac"/>
        </w:rPr>
      </w:pPr>
    </w:p>
    <w:p w:rsidR="006E28D6" w:rsidRPr="00904E0D" w:rsidRDefault="006E28D6" w:rsidP="00904E0D">
      <w:pPr>
        <w:pStyle w:val="aa"/>
      </w:pPr>
      <w:bookmarkStart w:id="0" w:name="_GoBack"/>
      <w:bookmarkEnd w:id="0"/>
    </w:p>
    <w:sectPr w:rsidR="006E28D6" w:rsidRPr="00904E0D" w:rsidSect="00FF17E4">
      <w:footerReference w:type="default" r:id="rId11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14" w:rsidRDefault="00BB1014" w:rsidP="00FD2B4C">
      <w:pPr>
        <w:spacing w:after="0" w:line="240" w:lineRule="auto"/>
      </w:pPr>
      <w:r>
        <w:separator/>
      </w:r>
    </w:p>
  </w:endnote>
  <w:endnote w:type="continuationSeparator" w:id="0">
    <w:p w:rsidR="00BB1014" w:rsidRDefault="00BB1014" w:rsidP="00FD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4C" w:rsidRPr="00FD2B4C" w:rsidRDefault="00FD2B4C">
    <w:pPr>
      <w:pStyle w:val="af0"/>
      <w:jc w:val="right"/>
      <w:rPr>
        <w:b/>
        <w:sz w:val="28"/>
        <w:szCs w:val="28"/>
      </w:rPr>
    </w:pPr>
  </w:p>
  <w:p w:rsidR="00FD2B4C" w:rsidRDefault="00FD2B4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14" w:rsidRDefault="00BB1014" w:rsidP="00FD2B4C">
      <w:pPr>
        <w:spacing w:after="0" w:line="240" w:lineRule="auto"/>
      </w:pPr>
      <w:r>
        <w:separator/>
      </w:r>
    </w:p>
  </w:footnote>
  <w:footnote w:type="continuationSeparator" w:id="0">
    <w:p w:rsidR="00BB1014" w:rsidRDefault="00BB1014" w:rsidP="00FD2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C0"/>
    <w:rsid w:val="000623EC"/>
    <w:rsid w:val="00067DD8"/>
    <w:rsid w:val="00150BE1"/>
    <w:rsid w:val="00196B75"/>
    <w:rsid w:val="00214700"/>
    <w:rsid w:val="002D78C0"/>
    <w:rsid w:val="0039257E"/>
    <w:rsid w:val="003A11DF"/>
    <w:rsid w:val="0041509C"/>
    <w:rsid w:val="00444FEE"/>
    <w:rsid w:val="004F3B75"/>
    <w:rsid w:val="00526378"/>
    <w:rsid w:val="00565F58"/>
    <w:rsid w:val="005A087A"/>
    <w:rsid w:val="006E28D6"/>
    <w:rsid w:val="007464DA"/>
    <w:rsid w:val="00775887"/>
    <w:rsid w:val="00783142"/>
    <w:rsid w:val="007F5176"/>
    <w:rsid w:val="00844EC1"/>
    <w:rsid w:val="00867BFB"/>
    <w:rsid w:val="00904E0D"/>
    <w:rsid w:val="00937020"/>
    <w:rsid w:val="00952779"/>
    <w:rsid w:val="00A74EF8"/>
    <w:rsid w:val="00AA1EE3"/>
    <w:rsid w:val="00AE19DE"/>
    <w:rsid w:val="00B31FF1"/>
    <w:rsid w:val="00B91B91"/>
    <w:rsid w:val="00BB1014"/>
    <w:rsid w:val="00BC76A6"/>
    <w:rsid w:val="00BE5D14"/>
    <w:rsid w:val="00C50DCE"/>
    <w:rsid w:val="00C52D4E"/>
    <w:rsid w:val="00D119C1"/>
    <w:rsid w:val="00F50B24"/>
    <w:rsid w:val="00FD2B4C"/>
    <w:rsid w:val="00FD5FDE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C76A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C76A6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C76A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6A6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BC76A6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BC76A6"/>
    <w:rPr>
      <w:b/>
      <w:bCs/>
      <w:sz w:val="20"/>
      <w:szCs w:val="20"/>
    </w:rPr>
  </w:style>
  <w:style w:type="paragraph" w:styleId="aa">
    <w:name w:val="No Spacing"/>
    <w:uiPriority w:val="1"/>
    <w:qFormat/>
    <w:rsid w:val="00444F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0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A11DF"/>
    <w:rPr>
      <w:i/>
      <w:iCs/>
    </w:rPr>
  </w:style>
  <w:style w:type="character" w:styleId="ad">
    <w:name w:val="Hyperlink"/>
    <w:basedOn w:val="a0"/>
    <w:uiPriority w:val="99"/>
    <w:unhideWhenUsed/>
    <w:rsid w:val="00C52D4E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D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2B4C"/>
  </w:style>
  <w:style w:type="paragraph" w:styleId="af0">
    <w:name w:val="footer"/>
    <w:basedOn w:val="a"/>
    <w:link w:val="af1"/>
    <w:uiPriority w:val="99"/>
    <w:unhideWhenUsed/>
    <w:rsid w:val="00FD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2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C76A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C76A6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C76A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6A6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BC76A6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BC76A6"/>
    <w:rPr>
      <w:b/>
      <w:bCs/>
      <w:sz w:val="20"/>
      <w:szCs w:val="20"/>
    </w:rPr>
  </w:style>
  <w:style w:type="paragraph" w:styleId="aa">
    <w:name w:val="No Spacing"/>
    <w:uiPriority w:val="1"/>
    <w:qFormat/>
    <w:rsid w:val="00444FE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90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A11DF"/>
    <w:rPr>
      <w:i/>
      <w:iCs/>
    </w:rPr>
  </w:style>
  <w:style w:type="character" w:styleId="ad">
    <w:name w:val="Hyperlink"/>
    <w:basedOn w:val="a0"/>
    <w:uiPriority w:val="99"/>
    <w:unhideWhenUsed/>
    <w:rsid w:val="00C52D4E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D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2B4C"/>
  </w:style>
  <w:style w:type="paragraph" w:styleId="af0">
    <w:name w:val="footer"/>
    <w:basedOn w:val="a"/>
    <w:link w:val="af1"/>
    <w:uiPriority w:val="99"/>
    <w:unhideWhenUsed/>
    <w:rsid w:val="00FD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pp.cente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ЗПП</cp:lastModifiedBy>
  <cp:revision>31</cp:revision>
  <dcterms:created xsi:type="dcterms:W3CDTF">2019-08-28T06:16:00Z</dcterms:created>
  <dcterms:modified xsi:type="dcterms:W3CDTF">2021-11-17T08:04:00Z</dcterms:modified>
</cp:coreProperties>
</file>