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4A" w:rsidRPr="00C1109B" w:rsidRDefault="003F75C6" w:rsidP="004375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1109B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1EFD4E" wp14:editId="52E85D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8155" cy="1189990"/>
            <wp:effectExtent l="0" t="0" r="4445" b="10160"/>
            <wp:wrapSquare wrapText="bothSides"/>
            <wp:docPr id="1" name="Изображение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 избежать обмана, если организация навязывает замену счётчиков на дому?</w:t>
      </w:r>
    </w:p>
    <w:p w:rsidR="00437524" w:rsidRPr="00C1109B" w:rsidRDefault="00437524" w:rsidP="004375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Оснащение жилых домов, а также квартир многоквартирного жилого дома приборами учёта потребляемых коммунальных ресурсов – это обязанность собственников жилья, установленная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законом, если иное не установлено договором между собственником и управляющей организацией.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Именно собственник квартиры обязан следить за тем, чтобы срок поверки счётчика не истёк, сам прибор не был повреждён, а целостность пломб не была нарушена. 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Безотве</w:t>
      </w:r>
      <w:r w:rsidRPr="00C110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тственное отношение собственника жилья к вышеуказанным обязательствам может повлечь за собой ряд негативных последствий, в том числе связанных с обманом жильцов недобросовестными организациями. Представители подобных организаций могут воспользоваться, к пр</w:t>
      </w:r>
      <w:r w:rsidRPr="00C110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имеру, отсутствием у собственника знаний о сроках поверки своих счётчиков и </w:t>
      </w:r>
      <w:r w:rsidRPr="00C1109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навязать ненужную платную услугу замены прибора учё</w:t>
      </w:r>
      <w:bookmarkStart w:id="0" w:name="_GoBack"/>
      <w:bookmarkEnd w:id="0"/>
      <w:r w:rsidRPr="00C1109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та.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Схема обмана, как правило, следующая. Недобросовестные представители коммерческих организаций, реализующих индивидуальные при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боры учёта, приходят к вам домой якобы для осуществления плановой проверки состояния и достоверности показаний счётчика, в ходе которой заявляют либо о «неисправности» прибора, либо о «просрочке» его поверки. Тут же они предлагают вам приобрести счётчик им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енно у них, а также «их силами» осуществить его замену. В действительности же ваш прибор учёта является полностью исправным, а срок его очередной поверки даже близко не наступил.</w:t>
      </w:r>
    </w:p>
    <w:p w:rsidR="0012674A" w:rsidRPr="00C1109B" w:rsidRDefault="003F75C6" w:rsidP="0043752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11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 избежать обмана, если организация навязывает замену счётчиков?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Помните: п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роводить периодические проверки индивидуальных приборов учёта имеет право только организация, поставляющая вам коммунальный ресурс (воду, электричество, газ). Наименование этой организации указано в платёжных квитанциях за коммунальные услуги. Позвонив в о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рганизацию, вы можете уточнить, действительно ли тот или иной её сотрудник в настоящее время осуществляет плановую проверку приборов учёта в вашем районе. </w:t>
      </w:r>
      <w:r w:rsidRPr="00C110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Отказывайте в доступе к счётчикам представителям иных организаций.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Недобросовестные участники рынка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могут также рассылать под видом платёжных квитанций за коммунальные услуги свои бланки, на которых размещают информацию о якобы необходимости замены счётчиков. Не стоит доверять такой информации. О случаях, в которых необходима замена индивидуального прибо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ра учёта, расскажем ниже.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Имейте в виду, что </w:t>
      </w:r>
      <w:r w:rsidRPr="00C110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акты о якобы «просрочке поверки» приборов индивидуального учёта, составленные кем-либо, кроме поставщика коммунальной услуги, не имеют никакой юридической силы.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 Такие документы составляются недобросовестными сот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рудниками различных коммерческих организаций с целью придания видимости легитимности своим заведомо неправомерным действиям.</w:t>
      </w:r>
    </w:p>
    <w:p w:rsidR="0012674A" w:rsidRPr="00C1109B" w:rsidRDefault="003F75C6" w:rsidP="0043752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11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Что нужно знать собственнику о замене индивидуальных приборов учета?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Замена счётчика требуется по истечении срока его эксплуатации,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в техническом паспорте, либо в случае неустранимой неисправности прибора учёта.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Замена счётчика осуществляется организацией, предоставляющей коммунальные услуги – управляющей компанией или </w:t>
      </w:r>
      <w:proofErr w:type="spellStart"/>
      <w:r w:rsidRPr="00C1109B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организацией. При осуществлении замен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ы иными лицами обязательно присутствие представителя такой организации (исполнителя коммунальных услуг). Сотрудники прочих компаний не вправе нарушать целостность пломбы для демонтажа старого прибора учёта, а также вводить в эксплуатацию и опломбировывать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новый счётчик.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При обнаружении неисправности счётчика, либо при приближении окончания срока его эксплуатации следует обращаться именно в организацию, предоставляющую коммунальные услуги.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Если вы все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таки подписали договор, а услуга была оказана,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осуществить возврат денежных средств можно лишь в том случае, если вам продали некачественный (неисправный) прибор учёта и (или) некачественно его установили. Бытовые приборы учёта надлежащего качества по закону не подлежат обмену и возврату, поэтому возвр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ат денег за исправный счётчик без согласия продавца невозможен. При отсутствии согласия продавца расторгнуть сделку можно лишь в том случае, если договор был заключён под влиянием существенного заблуждения, в результате обмана потребителя 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продавцом. Причём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расторжение договора в таких случаях производится в судебном порядке – по иску покупателя (заказчика) суд может признать сделку недействительной.</w:t>
      </w:r>
    </w:p>
    <w:p w:rsidR="0012674A" w:rsidRPr="00C1109B" w:rsidRDefault="003F75C6" w:rsidP="00437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hAnsi="Times New Roman" w:cs="Times New Roman"/>
          <w:sz w:val="24"/>
          <w:szCs w:val="24"/>
          <w:lang w:eastAsia="ru-RU"/>
        </w:rPr>
        <w:t>Все претензии относительно качества приобретённых товаров и услуг необходимо предъявлять продавцу (исполнител</w:t>
      </w:r>
      <w:r w:rsidRPr="00C1109B">
        <w:rPr>
          <w:rFonts w:ascii="Times New Roman" w:hAnsi="Times New Roman" w:cs="Times New Roman"/>
          <w:sz w:val="24"/>
          <w:szCs w:val="24"/>
          <w:lang w:eastAsia="ru-RU"/>
        </w:rPr>
        <w:t>ю), который продал вам счётчик, либо осуществил его установку.</w:t>
      </w:r>
    </w:p>
    <w:p w:rsidR="00C1109B" w:rsidRPr="00C1109B" w:rsidRDefault="00C1109B" w:rsidP="00C1109B">
      <w:pPr>
        <w:spacing w:after="0" w:line="25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вопросам соблюдения требований законодательства о защите прав потребителей  можно обращаться: </w:t>
      </w:r>
    </w:p>
    <w:p w:rsidR="00C1109B" w:rsidRPr="00C1109B" w:rsidRDefault="00C1109B" w:rsidP="00C1109B">
      <w:pPr>
        <w:spacing w:after="0" w:line="25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в Управление </w:t>
      </w:r>
      <w:proofErr w:type="spellStart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Новгородской области по адресу: </w:t>
      </w:r>
      <w:proofErr w:type="spellStart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В.Новгород</w:t>
      </w:r>
      <w:proofErr w:type="spellEnd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, ул. Германа, д.14 , тел.971-083; 971-106;</w:t>
      </w:r>
    </w:p>
    <w:p w:rsidR="00C1109B" w:rsidRPr="00C1109B" w:rsidRDefault="00C1109B" w:rsidP="00C1109B">
      <w:pPr>
        <w:spacing w:after="0" w:line="25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- в Центр по информированию и консультированию потребителей по адресу: г. Великий Новгород, ул. Германа 29а, тел. 77-20-38, 73-06-77;</w:t>
      </w:r>
    </w:p>
    <w:p w:rsidR="00C1109B" w:rsidRPr="00C1109B" w:rsidRDefault="00C1109B" w:rsidP="00C1109B">
      <w:pPr>
        <w:shd w:val="clear" w:color="auto" w:fill="FFFFFF"/>
        <w:spacing w:after="0" w:line="25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- в отдел МФЦ по г. Великому Новгороду (адрес: 173000, г. Великий Новгород, ул. Большая Московская, д. 24) консультации можно получить каждый первый четверг месяца с 10-00 до 17-00.</w:t>
      </w:r>
    </w:p>
    <w:p w:rsidR="00C1109B" w:rsidRPr="00C1109B" w:rsidRDefault="00C1109B" w:rsidP="00C1109B">
      <w:pPr>
        <w:spacing w:after="0" w:line="25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C1109B" w:rsidRPr="00C1109B" w:rsidRDefault="00C1109B" w:rsidP="00C1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62D42"/>
          <w:sz w:val="24"/>
          <w:szCs w:val="24"/>
          <w:shd w:val="clear" w:color="auto" w:fill="FFFFFF"/>
          <w:lang w:eastAsia="ru-RU"/>
        </w:rPr>
      </w:pPr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Дополнительно информируем, что функционирует Государственный информационный ресурс для потребителей </w:t>
      </w:r>
      <w:hyperlink r:id="rId8" w:history="1">
        <w:r w:rsidRPr="00C1109B">
          <w:rPr>
            <w:rFonts w:ascii="Times New Roman" w:eastAsia="SimSun" w:hAnsi="Times New Roman" w:cs="Times New Roman"/>
            <w:sz w:val="24"/>
            <w:szCs w:val="24"/>
            <w:u w:val="single"/>
            <w:lang w:eastAsia="ru-RU"/>
          </w:rPr>
          <w:t>https://zpp.rospotrebnadzor.ru</w:t>
        </w:r>
      </w:hyperlink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110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сфере защиты прав потребителей. </w:t>
      </w:r>
    </w:p>
    <w:p w:rsidR="0012674A" w:rsidRDefault="001267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674A">
      <w:pgSz w:w="11906" w:h="16838"/>
      <w:pgMar w:top="694" w:right="505" w:bottom="1134" w:left="8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C6" w:rsidRDefault="003F75C6">
      <w:pPr>
        <w:spacing w:line="240" w:lineRule="auto"/>
      </w:pPr>
      <w:r>
        <w:separator/>
      </w:r>
    </w:p>
  </w:endnote>
  <w:endnote w:type="continuationSeparator" w:id="0">
    <w:p w:rsidR="003F75C6" w:rsidRDefault="003F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C6" w:rsidRDefault="003F75C6">
      <w:pPr>
        <w:spacing w:after="0"/>
      </w:pPr>
      <w:r>
        <w:separator/>
      </w:r>
    </w:p>
  </w:footnote>
  <w:footnote w:type="continuationSeparator" w:id="0">
    <w:p w:rsidR="003F75C6" w:rsidRDefault="003F75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A7"/>
    <w:rsid w:val="000950A1"/>
    <w:rsid w:val="0012674A"/>
    <w:rsid w:val="00226555"/>
    <w:rsid w:val="00277276"/>
    <w:rsid w:val="003F75C6"/>
    <w:rsid w:val="00437524"/>
    <w:rsid w:val="004C16A7"/>
    <w:rsid w:val="007A4516"/>
    <w:rsid w:val="00BC225C"/>
    <w:rsid w:val="00BF1838"/>
    <w:rsid w:val="00C1109B"/>
    <w:rsid w:val="00C33507"/>
    <w:rsid w:val="00E702F9"/>
    <w:rsid w:val="217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2024-02-05T08:28:00Z</dcterms:created>
  <dcterms:modified xsi:type="dcterms:W3CDTF">2024-02-12T12:04:00Z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DD8AD93C526C479A85AD452DF3E64417_12</vt:lpwstr>
  </property>
</Properties>
</file>